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3768"/>
        <w:gridCol w:w="2285"/>
        <w:gridCol w:w="2650"/>
      </w:tblGrid>
      <w:tr w:rsidR="009A18F5" w14:paraId="71318F40" w14:textId="77777777" w:rsidTr="003A6338">
        <w:trPr>
          <w:trHeight w:hRule="exact" w:val="648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2AFFB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Bold"/>
                <w:rFonts w:eastAsiaTheme="minorHAnsi"/>
              </w:rPr>
              <w:t>Учебный</w:t>
            </w:r>
          </w:p>
          <w:p w14:paraId="0CE5DFC4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Bold"/>
                <w:rFonts w:eastAsiaTheme="minorHAnsi"/>
              </w:rPr>
              <w:t>предмет</w:t>
            </w:r>
          </w:p>
        </w:tc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622CA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40"/>
              <w:jc w:val="center"/>
            </w:pPr>
            <w:r>
              <w:rPr>
                <w:rStyle w:val="Bodytext2105ptBold"/>
                <w:rFonts w:eastAsiaTheme="minorHAnsi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</w:p>
        </w:tc>
      </w:tr>
      <w:tr w:rsidR="009A18F5" w14:paraId="12783D54" w14:textId="77777777" w:rsidTr="003A6338">
        <w:trPr>
          <w:trHeight w:hRule="exact" w:val="288"/>
          <w:jc w:val="center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516B5C" w14:textId="77777777" w:rsidR="009A18F5" w:rsidRDefault="009A18F5" w:rsidP="003A6338">
            <w:pPr>
              <w:framePr w:w="10646" w:wrap="notBeside" w:vAnchor="text" w:hAnchor="text" w:xAlign="center" w:y="1"/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06B7B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Bold"/>
                <w:rFonts w:eastAsiaTheme="minorHAnsi"/>
              </w:rPr>
              <w:t>Форма ГИА</w:t>
            </w:r>
          </w:p>
        </w:tc>
      </w:tr>
      <w:tr w:rsidR="009A18F5" w14:paraId="1AFE604D" w14:textId="77777777" w:rsidTr="003A6338">
        <w:trPr>
          <w:trHeight w:hRule="exact" w:val="619"/>
          <w:jc w:val="center"/>
        </w:trPr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D58BDF" w14:textId="77777777" w:rsidR="009A18F5" w:rsidRDefault="009A18F5" w:rsidP="003A6338">
            <w:pPr>
              <w:framePr w:w="10646" w:wrap="notBeside" w:vAnchor="text" w:hAnchor="text" w:xAlign="center" w:y="1"/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3A103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Bold"/>
                <w:rFonts w:eastAsiaTheme="minorHAnsi"/>
              </w:rPr>
              <w:t>ОГЭ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4B002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Bold"/>
                <w:rFonts w:eastAsiaTheme="minorHAnsi"/>
              </w:rPr>
              <w:t>ГВЭ</w:t>
            </w:r>
          </w:p>
          <w:p w14:paraId="5F80EDE1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left="220"/>
            </w:pPr>
            <w:r>
              <w:rPr>
                <w:rStyle w:val="Bodytext2105ptBold"/>
                <w:rFonts w:eastAsiaTheme="minorHAnsi"/>
              </w:rPr>
              <w:t>(письменная форма)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2BEF2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Bold"/>
                <w:rFonts w:eastAsiaTheme="minorHAnsi"/>
              </w:rPr>
              <w:t>ГВЭ</w:t>
            </w:r>
          </w:p>
          <w:p w14:paraId="65D4423F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Bold"/>
                <w:rFonts w:eastAsiaTheme="minorHAnsi"/>
              </w:rPr>
              <w:t>(устная форма)</w:t>
            </w:r>
          </w:p>
        </w:tc>
      </w:tr>
      <w:tr w:rsidR="009A18F5" w14:paraId="18A65AC6" w14:textId="77777777" w:rsidTr="003A6338">
        <w:trPr>
          <w:trHeight w:hRule="exact" w:val="52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135A7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Русский язык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40CAE" w14:textId="1AD334B4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Орфографический словарь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72DDA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9" w:lineRule="exact"/>
              <w:ind w:left="220"/>
            </w:pPr>
            <w:r>
              <w:rPr>
                <w:rStyle w:val="Bodytext2105pt"/>
                <w:rFonts w:eastAsiaTheme="minorHAnsi"/>
              </w:rPr>
              <w:t>Орфографический и толковый словари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6D857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Не используются</w:t>
            </w:r>
          </w:p>
        </w:tc>
      </w:tr>
      <w:tr w:rsidR="009A18F5" w14:paraId="62254300" w14:textId="77777777" w:rsidTr="003A6338">
        <w:trPr>
          <w:trHeight w:hRule="exact" w:val="78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51740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Математика</w:t>
            </w:r>
          </w:p>
        </w:tc>
        <w:tc>
          <w:tcPr>
            <w:tcW w:w="8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9CA5E" w14:textId="3399AE9D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Линейка, не содержащая справочной информации; 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9A18F5" w14:paraId="20507B10" w14:textId="77777777" w:rsidTr="003A6338">
        <w:trPr>
          <w:trHeight w:hRule="exact" w:val="103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84272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Биология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9FB62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Линейка, не содержащая справочной информации;</w:t>
            </w:r>
          </w:p>
          <w:p w14:paraId="44DDD4FD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непрограммируемый калькулятор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0C774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left="600" w:right="540"/>
            </w:pPr>
            <w:r>
              <w:rPr>
                <w:rStyle w:val="Bodytext2105pt"/>
                <w:rFonts w:eastAsiaTheme="minorHAnsi"/>
              </w:rPr>
              <w:t>Линейка, не содержащая справочной информации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62F1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Не используются</w:t>
            </w:r>
          </w:p>
        </w:tc>
      </w:tr>
      <w:tr w:rsidR="009A18F5" w14:paraId="61A61C76" w14:textId="77777777" w:rsidTr="003A6338">
        <w:trPr>
          <w:trHeight w:hRule="exact" w:val="103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DE18A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География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244F9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Линейка, не содержащая справочной информации; непрограммируемый калькулятор; географические атласы для</w:t>
            </w:r>
          </w:p>
          <w:p w14:paraId="17ECD622" w14:textId="2C2AE36F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7-9 классов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F8960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Непрограммируемый калькулятор; географические атласы для 7-9 классов</w:t>
            </w:r>
          </w:p>
        </w:tc>
      </w:tr>
      <w:tr w:rsidR="009A18F5" w14:paraId="6BE71CD9" w14:textId="77777777" w:rsidTr="003A6338">
        <w:trPr>
          <w:trHeight w:hRule="exact" w:val="357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ECCFC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Иностранные</w:t>
            </w:r>
          </w:p>
          <w:p w14:paraId="332AAB86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языки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031491" w14:textId="0463DC64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1 «Задания по аудированию» КИМ ОГЭ;</w:t>
            </w:r>
          </w:p>
          <w:p w14:paraId="1C38ACD6" w14:textId="6BD35A0D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 xml:space="preserve">компьютерная техника, не имеющая доступа к  </w:t>
            </w:r>
            <w:r w:rsidR="00B249A0">
              <w:t xml:space="preserve"> </w:t>
            </w:r>
            <w:r w:rsidR="00B249A0" w:rsidRPr="00B249A0">
              <w:rPr>
                <w:rStyle w:val="Bodytext2105pt"/>
                <w:rFonts w:eastAsiaTheme="minorHAnsi"/>
              </w:rPr>
              <w:t xml:space="preserve">информационно-телекоммуникационной </w:t>
            </w:r>
            <w:r>
              <w:rPr>
                <w:rStyle w:val="Bodytext2105pt"/>
                <w:rFonts w:eastAsiaTheme="minorHAnsi"/>
              </w:rPr>
              <w:t>сети «Интернет»;</w:t>
            </w:r>
          </w:p>
          <w:p w14:paraId="454B3D06" w14:textId="714D76F0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аудио</w:t>
            </w:r>
            <w:r w:rsidR="00B249A0">
              <w:rPr>
                <w:rStyle w:val="Bodytext2105pt"/>
                <w:rFonts w:eastAsiaTheme="minorHAnsi"/>
              </w:rPr>
              <w:t>-</w:t>
            </w:r>
            <w:r>
              <w:rPr>
                <w:rStyle w:val="Bodytext2105pt"/>
                <w:rFonts w:eastAsiaTheme="minorHAnsi"/>
              </w:rPr>
              <w:t>гарнитура для выполнения заданий, предусматривающих устные</w:t>
            </w:r>
          </w:p>
          <w:p w14:paraId="6E71EFF7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left="80"/>
              <w:jc w:val="center"/>
            </w:pPr>
            <w:r>
              <w:rPr>
                <w:rStyle w:val="Bodytext2105pt"/>
                <w:rFonts w:eastAsiaTheme="minorHAnsi"/>
              </w:rPr>
              <w:t>ответы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FB66A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Не используются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5D8B4" w14:textId="060A8B40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left="280"/>
              <w:jc w:val="left"/>
            </w:pPr>
            <w:r>
              <w:rPr>
                <w:rStyle w:val="Bodytext2105pt"/>
                <w:rFonts w:eastAsiaTheme="minorHAnsi"/>
              </w:rPr>
              <w:t>Двуязычный словарь</w:t>
            </w:r>
          </w:p>
        </w:tc>
      </w:tr>
    </w:tbl>
    <w:p w14:paraId="1C4A9829" w14:textId="77777777" w:rsidR="009A18F5" w:rsidRDefault="009A18F5" w:rsidP="009A18F5">
      <w:pPr>
        <w:framePr w:w="10646" w:wrap="notBeside" w:vAnchor="text" w:hAnchor="text" w:xAlign="center" w:y="1"/>
        <w:rPr>
          <w:sz w:val="2"/>
          <w:szCs w:val="2"/>
        </w:rPr>
      </w:pPr>
    </w:p>
    <w:p w14:paraId="74BC22F3" w14:textId="77777777" w:rsidR="009A18F5" w:rsidRDefault="009A18F5" w:rsidP="009A18F5">
      <w:pPr>
        <w:rPr>
          <w:sz w:val="2"/>
          <w:szCs w:val="2"/>
        </w:rPr>
      </w:pPr>
    </w:p>
    <w:tbl>
      <w:tblPr>
        <w:tblOverlap w:val="never"/>
        <w:tblW w:w="10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3768"/>
        <w:gridCol w:w="95"/>
        <w:gridCol w:w="2190"/>
        <w:gridCol w:w="2650"/>
      </w:tblGrid>
      <w:tr w:rsidR="00B249A0" w14:paraId="4A8F7FD8" w14:textId="77777777" w:rsidTr="00B249A0">
        <w:trPr>
          <w:trHeight w:hRule="exact" w:val="128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39894" w14:textId="77777777" w:rsidR="00B249A0" w:rsidRDefault="00B249A0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Информатика</w:t>
            </w:r>
          </w:p>
        </w:tc>
        <w:tc>
          <w:tcPr>
            <w:tcW w:w="8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AB382" w14:textId="3A8144F3" w:rsidR="00B249A0" w:rsidRDefault="00B249A0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left="200"/>
              <w:jc w:val="left"/>
            </w:pPr>
            <w:r>
              <w:rPr>
                <w:rStyle w:val="Bodytext2105pt"/>
                <w:rFonts w:eastAsiaTheme="minorHAnsi"/>
              </w:rPr>
              <w:t>Компьютерная техника, не имеющая</w:t>
            </w:r>
            <w:r>
              <w:t xml:space="preserve"> </w:t>
            </w:r>
            <w:r w:rsidRPr="00B249A0">
              <w:rPr>
                <w:rStyle w:val="Bodytext2105pt"/>
                <w:rFonts w:eastAsiaTheme="minorHAnsi"/>
              </w:rPr>
              <w:t xml:space="preserve">доступа к информационно-телекоммуникационной </w:t>
            </w:r>
            <w:r>
              <w:rPr>
                <w:rStyle w:val="Bodytext2105pt"/>
                <w:rFonts w:eastAsiaTheme="minorHAnsi"/>
              </w:rPr>
              <w:t>сети «Интернет», с установленным</w:t>
            </w:r>
            <w:r>
              <w:t xml:space="preserve"> </w:t>
            </w:r>
            <w:r w:rsidRPr="00B249A0">
              <w:rPr>
                <w:rStyle w:val="Bodytext2105pt"/>
                <w:rFonts w:eastAsiaTheme="minorHAnsi"/>
              </w:rPr>
              <w:t>программным обеспечением, предоставляющим</w:t>
            </w:r>
            <w:r w:rsidRPr="00B249A0">
              <w:rPr>
                <w:rStyle w:val="Bodytext2105pt"/>
                <w:rFonts w:eastAsiaTheme="minorHAnsi"/>
              </w:rPr>
              <w:t xml:space="preserve"> </w:t>
            </w:r>
            <w:r>
              <w:rPr>
                <w:rStyle w:val="Bodytext2105pt"/>
                <w:rFonts w:eastAsiaTheme="minorHAnsi"/>
              </w:rPr>
              <w:t xml:space="preserve">возможность работы </w:t>
            </w:r>
            <w:proofErr w:type="gramStart"/>
            <w:r>
              <w:rPr>
                <w:rStyle w:val="Bodytext2105pt"/>
                <w:rFonts w:eastAsiaTheme="minorHAnsi"/>
              </w:rPr>
              <w:t>с презентациям</w:t>
            </w:r>
            <w:proofErr w:type="gramEnd"/>
            <w:r>
              <w:rPr>
                <w:rStyle w:val="Bodytext2105pt"/>
                <w:rFonts w:eastAsiaTheme="minorHAnsi"/>
              </w:rPr>
              <w:t xml:space="preserve">, </w:t>
            </w:r>
            <w:r w:rsidRPr="00B249A0">
              <w:rPr>
                <w:rStyle w:val="Bodytext2105pt"/>
                <w:rFonts w:eastAsiaTheme="minorHAnsi"/>
              </w:rPr>
              <w:t>текстовыми</w:t>
            </w:r>
            <w:r w:rsidRPr="00B249A0">
              <w:rPr>
                <w:rStyle w:val="Bodytext2105pt"/>
                <w:rFonts w:eastAsiaTheme="minorHAnsi"/>
              </w:rPr>
              <w:t xml:space="preserve"> </w:t>
            </w:r>
            <w:r>
              <w:rPr>
                <w:rStyle w:val="Bodytext2105pt"/>
                <w:rFonts w:eastAsiaTheme="minorHAnsi"/>
              </w:rPr>
              <w:t xml:space="preserve">редакторами, редакторами </w:t>
            </w:r>
            <w:r w:rsidRPr="00B249A0">
              <w:rPr>
                <w:rStyle w:val="Bodytext2105pt"/>
                <w:rFonts w:eastAsiaTheme="minorHAnsi"/>
              </w:rPr>
              <w:t>электронных таблиц</w:t>
            </w:r>
            <w:r>
              <w:rPr>
                <w:rStyle w:val="Bodytext2105pt"/>
                <w:rFonts w:eastAsiaTheme="minorHAnsi"/>
              </w:rPr>
              <w:t>, средами программирования</w:t>
            </w:r>
          </w:p>
          <w:p w14:paraId="5E6BC30C" w14:textId="6058A40F" w:rsidR="00B249A0" w:rsidRDefault="00B249A0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left="2520"/>
              <w:jc w:val="left"/>
            </w:pPr>
          </w:p>
          <w:p w14:paraId="67267CD2" w14:textId="3D5B368B" w:rsidR="00B249A0" w:rsidRDefault="00B249A0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</w:pPr>
          </w:p>
        </w:tc>
      </w:tr>
      <w:tr w:rsidR="009A18F5" w14:paraId="3AAF3B37" w14:textId="77777777" w:rsidTr="009A18F5">
        <w:trPr>
          <w:trHeight w:hRule="exact" w:val="52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86F76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История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8F494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Не используются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BD591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Не используются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CE2A2" w14:textId="5A9FDF79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Атласы по истории России для 6-9 классов</w:t>
            </w:r>
          </w:p>
        </w:tc>
      </w:tr>
      <w:tr w:rsidR="009A18F5" w14:paraId="1F1DB838" w14:textId="77777777" w:rsidTr="009A18F5">
        <w:trPr>
          <w:trHeight w:hRule="exact" w:val="103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F8911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Литература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A3416" w14:textId="23979314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Орфографический словарь; полные тексты художественных произведений, а также сборники</w:t>
            </w:r>
          </w:p>
          <w:p w14:paraId="246CDA7B" w14:textId="4DFA1B5B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left="2200"/>
              <w:jc w:val="left"/>
            </w:pPr>
          </w:p>
          <w:p w14:paraId="7F0653C8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лирики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91B37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полные тексты</w:t>
            </w:r>
          </w:p>
          <w:p w14:paraId="2E25D4B0" w14:textId="65623549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художественных произведений, а также сборники лирики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3741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Не используются</w:t>
            </w:r>
          </w:p>
        </w:tc>
      </w:tr>
      <w:tr w:rsidR="009A18F5" w14:paraId="1E4C07F4" w14:textId="77777777" w:rsidTr="009A18F5">
        <w:trPr>
          <w:trHeight w:hRule="exact" w:val="27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0FCB5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left="220"/>
              <w:jc w:val="left"/>
            </w:pPr>
            <w:r>
              <w:rPr>
                <w:rStyle w:val="Bodytext2105pt"/>
                <w:rFonts w:eastAsiaTheme="minorHAnsi"/>
              </w:rPr>
              <w:t>Обществознание</w:t>
            </w:r>
          </w:p>
        </w:tc>
        <w:tc>
          <w:tcPr>
            <w:tcW w:w="8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B86B8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Не используются</w:t>
            </w:r>
          </w:p>
        </w:tc>
      </w:tr>
      <w:tr w:rsidR="009A18F5" w14:paraId="72240080" w14:textId="77777777" w:rsidTr="009A18F5">
        <w:trPr>
          <w:trHeight w:hRule="exact" w:val="538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9DD93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Физика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164A9C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Линейка, не содержащая справочной информации;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92653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Линейка, не содержащая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02E79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Непрограммируемый</w:t>
            </w:r>
          </w:p>
          <w:p w14:paraId="2B839626" w14:textId="77777777" w:rsidR="009A18F5" w:rsidRDefault="009A18F5" w:rsidP="003A6338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</w:pPr>
            <w:r>
              <w:rPr>
                <w:rStyle w:val="Bodytext2105pt"/>
                <w:rFonts w:eastAsiaTheme="minorHAnsi"/>
              </w:rPr>
              <w:t>калькулятор;</w:t>
            </w:r>
          </w:p>
        </w:tc>
      </w:tr>
      <w:tr w:rsidR="005546C0" w14:paraId="2168142C" w14:textId="77777777" w:rsidTr="005546C0">
        <w:tblPrEx>
          <w:jc w:val="left"/>
        </w:tblPrEx>
        <w:trPr>
          <w:trHeight w:hRule="exact" w:val="53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21FCB" w14:textId="77777777" w:rsidR="005546C0" w:rsidRPr="005546C0" w:rsidRDefault="005546C0" w:rsidP="005546C0">
            <w:pPr>
              <w:pStyle w:val="Bodytext20"/>
              <w:framePr w:w="10646" w:wrap="notBeside" w:vAnchor="text" w:hAnchor="text" w:xAlign="center" w:y="1"/>
              <w:spacing w:line="232" w:lineRule="exact"/>
              <w:ind w:right="6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AA55C" w14:textId="77777777" w:rsidR="005546C0" w:rsidRP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Bodytext2105pt"/>
                <w:rFonts w:eastAsiaTheme="minorHAnsi"/>
              </w:rPr>
              <w:t>непрограммируемый калькулятор; лабораторное оборудование для выполнения экспериментально задания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268280" w14:textId="77777777" w:rsidR="005546C0" w:rsidRP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6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Bodytext2105pt"/>
                <w:rFonts w:eastAsiaTheme="minorHAnsi"/>
              </w:rPr>
              <w:t>справочной</w:t>
            </w:r>
          </w:p>
          <w:p w14:paraId="78695EA9" w14:textId="77777777" w:rsidR="005546C0" w:rsidRP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6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Bodytext2105pt"/>
                <w:rFonts w:eastAsiaTheme="minorHAnsi"/>
              </w:rPr>
              <w:t>информации;</w:t>
            </w:r>
          </w:p>
          <w:p w14:paraId="7D616477" w14:textId="77777777" w:rsidR="005546C0" w:rsidRP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6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Bodytext2105pt"/>
                <w:rFonts w:eastAsiaTheme="minorHAnsi"/>
              </w:rPr>
              <w:t>непрограммируемый</w:t>
            </w:r>
          </w:p>
          <w:p w14:paraId="1C5818CD" w14:textId="77777777" w:rsidR="005546C0" w:rsidRP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6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Bodytext2105pt"/>
                <w:rFonts w:eastAsiaTheme="minorHAnsi"/>
              </w:rPr>
              <w:t>калькулятор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C35C7" w14:textId="77777777" w:rsidR="005546C0" w:rsidRP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4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Style w:val="Bodytext2105pt"/>
                <w:rFonts w:eastAsiaTheme="minorHAnsi"/>
              </w:rPr>
              <w:t>справочные материалы, содержащие основные формулы курса физики образовательной программы основного общего образования</w:t>
            </w:r>
          </w:p>
        </w:tc>
      </w:tr>
      <w:tr w:rsidR="005546C0" w14:paraId="77D83D8F" w14:textId="77777777" w:rsidTr="005546C0">
        <w:tblPrEx>
          <w:jc w:val="left"/>
        </w:tblPrEx>
        <w:trPr>
          <w:trHeight w:hRule="exact" w:val="281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A9FA5" w14:textId="77777777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Химия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2B579B" w14:textId="77777777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Непрограммируемый калькулятор; комплект химических реактивов и лабораторное оборудование для проведения химических опытов,</w:t>
            </w:r>
          </w:p>
          <w:p w14:paraId="6FCCA6E7" w14:textId="2B5C122C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предусмотренных заданиями; Периодическая система химических элементов Д.И. Менделеева</w:t>
            </w:r>
            <w:r w:rsidR="00B249A0">
              <w:rPr>
                <w:rStyle w:val="Bodytext2105pt"/>
                <w:rFonts w:eastAsiaTheme="minorHAnsi"/>
              </w:rPr>
              <w:t xml:space="preserve">, </w:t>
            </w:r>
            <w:r>
              <w:rPr>
                <w:rStyle w:val="Bodytext2105pt"/>
                <w:rFonts w:eastAsiaTheme="minorHAnsi"/>
              </w:rPr>
              <w:t>таблица растворимости солей, кислот</w:t>
            </w:r>
          </w:p>
          <w:p w14:paraId="192BE4B4" w14:textId="73F049F1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0" w:lineRule="exact"/>
              <w:ind w:right="60"/>
              <w:jc w:val="center"/>
            </w:pPr>
            <w:r>
              <w:rPr>
                <w:rStyle w:val="Bodytext2105pt"/>
                <w:rFonts w:eastAsiaTheme="minorHAnsi"/>
              </w:rPr>
              <w:t>и оснований в воде; электрохимический ряд напряжений</w:t>
            </w:r>
          </w:p>
          <w:p w14:paraId="43F19FBD" w14:textId="77777777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left="80"/>
              <w:jc w:val="center"/>
            </w:pPr>
            <w:r>
              <w:rPr>
                <w:rStyle w:val="Bodytext2105pt"/>
                <w:rFonts w:eastAsiaTheme="minorHAnsi"/>
              </w:rPr>
              <w:t>металлов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9E10A" w14:textId="77777777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ind w:right="20"/>
              <w:jc w:val="center"/>
            </w:pPr>
            <w:r>
              <w:rPr>
                <w:rStyle w:val="Bodytext2105pt"/>
                <w:rFonts w:eastAsiaTheme="minorHAnsi"/>
              </w:rPr>
              <w:t>Непрограммируемый калькулятор; Периодическая система химических элементов Д.И. Менделеева;</w:t>
            </w:r>
          </w:p>
          <w:p w14:paraId="6F8B0C21" w14:textId="77777777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Bodytext2105pt"/>
                <w:rFonts w:eastAsiaTheme="minorHAnsi"/>
              </w:rPr>
              <w:t>таблица растворимости солей, кислот и оснований</w:t>
            </w:r>
          </w:p>
          <w:p w14:paraId="445D437A" w14:textId="6FE9B5CC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2100"/>
              <w:jc w:val="right"/>
            </w:pPr>
            <w:r>
              <w:rPr>
                <w:rStyle w:val="Bodytext2105pt"/>
                <w:rFonts w:eastAsiaTheme="minorHAnsi"/>
              </w:rPr>
              <w:t>в воде;</w:t>
            </w:r>
          </w:p>
          <w:p w14:paraId="48F271F7" w14:textId="77777777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left="4600"/>
              <w:jc w:val="left"/>
            </w:pPr>
          </w:p>
          <w:p w14:paraId="180AF7FC" w14:textId="77777777" w:rsidR="005546C0" w:rsidRDefault="005546C0" w:rsidP="005546C0">
            <w:pPr>
              <w:pStyle w:val="Bodytext20"/>
              <w:framePr w:w="10646" w:wrap="notBeside" w:vAnchor="text" w:hAnchor="text" w:xAlign="center" w:y="1"/>
              <w:shd w:val="clear" w:color="auto" w:fill="auto"/>
              <w:spacing w:line="232" w:lineRule="exact"/>
              <w:ind w:right="20"/>
              <w:jc w:val="center"/>
            </w:pPr>
            <w:r>
              <w:rPr>
                <w:rStyle w:val="Bodytext2105pt"/>
                <w:rFonts w:eastAsiaTheme="minorHAnsi"/>
              </w:rPr>
              <w:t>электрохимический ряд напряжений металлов</w:t>
            </w:r>
          </w:p>
        </w:tc>
      </w:tr>
    </w:tbl>
    <w:p w14:paraId="6A342064" w14:textId="77777777" w:rsidR="009A18F5" w:rsidRDefault="009A18F5" w:rsidP="009A18F5">
      <w:pPr>
        <w:framePr w:w="10646" w:wrap="notBeside" w:vAnchor="text" w:hAnchor="text" w:xAlign="center" w:y="1"/>
        <w:rPr>
          <w:sz w:val="2"/>
          <w:szCs w:val="2"/>
        </w:rPr>
      </w:pPr>
    </w:p>
    <w:p w14:paraId="58C5B855" w14:textId="77777777" w:rsidR="00F01E22" w:rsidRDefault="00F01E22"/>
    <w:sectPr w:rsidR="00F01E22" w:rsidSect="009A18F5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CC7B" w14:textId="77777777" w:rsidR="00A17F4B" w:rsidRDefault="00A17F4B" w:rsidP="009A18F5">
      <w:r>
        <w:separator/>
      </w:r>
    </w:p>
  </w:endnote>
  <w:endnote w:type="continuationSeparator" w:id="0">
    <w:p w14:paraId="07AB5227" w14:textId="77777777" w:rsidR="00A17F4B" w:rsidRDefault="00A17F4B" w:rsidP="009A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DCF1" w14:textId="77777777" w:rsidR="00A17F4B" w:rsidRDefault="00A17F4B" w:rsidP="009A18F5">
      <w:r>
        <w:separator/>
      </w:r>
    </w:p>
  </w:footnote>
  <w:footnote w:type="continuationSeparator" w:id="0">
    <w:p w14:paraId="4EB5EDDE" w14:textId="77777777" w:rsidR="00A17F4B" w:rsidRDefault="00A17F4B" w:rsidP="009A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259D5"/>
    <w:multiLevelType w:val="multilevel"/>
    <w:tmpl w:val="FAD2F706"/>
    <w:lvl w:ilvl="0">
      <w:start w:val="8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2B"/>
    <w:rsid w:val="003D372B"/>
    <w:rsid w:val="005546C0"/>
    <w:rsid w:val="006C65C5"/>
    <w:rsid w:val="008F21F4"/>
    <w:rsid w:val="009A18F5"/>
    <w:rsid w:val="00A17F4B"/>
    <w:rsid w:val="00B249A0"/>
    <w:rsid w:val="00C42C74"/>
    <w:rsid w:val="00F0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EEAA"/>
  <w15:chartTrackingRefBased/>
  <w15:docId w15:val="{EF3B73BA-D528-4779-A391-29D667F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9A18F5"/>
    <w:rPr>
      <w:sz w:val="21"/>
      <w:szCs w:val="21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9A18F5"/>
    <w:rPr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9A18F5"/>
    <w:rPr>
      <w:sz w:val="26"/>
      <w:szCs w:val="26"/>
      <w:shd w:val="clear" w:color="auto" w:fill="FFFFFF"/>
    </w:rPr>
  </w:style>
  <w:style w:type="character" w:customStyle="1" w:styleId="Bodytext2105ptBold">
    <w:name w:val="Body text (2) + 10.5 pt;Bold"/>
    <w:basedOn w:val="Bodytext2"/>
    <w:rsid w:val="009A18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105pt">
    <w:name w:val="Body text (2) + 10.5 pt"/>
    <w:basedOn w:val="Bodytext2"/>
    <w:rsid w:val="009A18F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9A18F5"/>
    <w:pPr>
      <w:shd w:val="clear" w:color="auto" w:fill="FFFFFF"/>
      <w:spacing w:line="254" w:lineRule="exact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Bodytext30">
    <w:name w:val="Body text (3)"/>
    <w:basedOn w:val="a"/>
    <w:link w:val="Bodytext3"/>
    <w:rsid w:val="009A18F5"/>
    <w:pPr>
      <w:shd w:val="clear" w:color="auto" w:fill="FFFFFF"/>
      <w:spacing w:after="4560" w:line="278" w:lineRule="exact"/>
      <w:jc w:val="right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Bodytext20">
    <w:name w:val="Body text (2)"/>
    <w:basedOn w:val="a"/>
    <w:link w:val="Bodytext2"/>
    <w:rsid w:val="009A18F5"/>
    <w:pPr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Пятаева</dc:creator>
  <cp:keywords/>
  <dc:description/>
  <cp:lastModifiedBy>Светлана А. Пятаева</cp:lastModifiedBy>
  <cp:revision>4</cp:revision>
  <dcterms:created xsi:type="dcterms:W3CDTF">2024-04-16T05:20:00Z</dcterms:created>
  <dcterms:modified xsi:type="dcterms:W3CDTF">2025-04-01T07:07:00Z</dcterms:modified>
</cp:coreProperties>
</file>